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98" w:rsidRDefault="002F3A32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78" w:rsidRDefault="00760C78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760C78" w:rsidRDefault="00760C78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760C78" w:rsidRDefault="00760C78">
      <w:pPr>
        <w:spacing w:line="288" w:lineRule="auto"/>
        <w:jc w:val="center"/>
        <w:rPr>
          <w:rFonts w:ascii="Arial" w:hAnsi="Arial"/>
        </w:rPr>
      </w:pPr>
    </w:p>
    <w:p w:rsidR="00760C78" w:rsidRDefault="000321B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760C78" w:rsidRDefault="00760C78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60C78" w:rsidRDefault="00760C78">
      <w:pPr>
        <w:spacing w:line="288" w:lineRule="auto"/>
        <w:jc w:val="center"/>
        <w:rPr>
          <w:b/>
          <w:sz w:val="32"/>
        </w:rPr>
      </w:pPr>
    </w:p>
    <w:p w:rsidR="00760C78" w:rsidRDefault="009E6A85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D121C5">
        <w:rPr>
          <w:u w:val="single"/>
        </w:rPr>
        <w:t xml:space="preserve"> </w:t>
      </w:r>
      <w:r w:rsidR="008D1DC9">
        <w:rPr>
          <w:u w:val="single"/>
        </w:rPr>
        <w:t>15.01.2013</w:t>
      </w:r>
      <w:r w:rsidR="00D121C5">
        <w:rPr>
          <w:u w:val="single"/>
        </w:rPr>
        <w:t xml:space="preserve"> </w:t>
      </w:r>
      <w:r w:rsidR="008D1DC9">
        <w:rPr>
          <w:u w:val="single"/>
        </w:rPr>
        <w:t>г.</w:t>
      </w:r>
      <w:r w:rsidR="00D121C5">
        <w:rPr>
          <w:u w:val="single"/>
        </w:rPr>
        <w:t xml:space="preserve">  </w:t>
      </w:r>
      <w:r>
        <w:rPr>
          <w:u w:val="single"/>
        </w:rPr>
        <w:t xml:space="preserve">   </w:t>
      </w:r>
      <w:r w:rsidR="00760C78">
        <w:rPr>
          <w:u w:val="single"/>
        </w:rPr>
        <w:t xml:space="preserve"> №</w:t>
      </w:r>
      <w:r w:rsidR="00760C78">
        <w:rPr>
          <w:u w:val="single"/>
        </w:rPr>
        <w:tab/>
      </w:r>
      <w:r w:rsidR="008D1DC9">
        <w:rPr>
          <w:u w:val="single"/>
        </w:rPr>
        <w:t xml:space="preserve">     10</w:t>
      </w:r>
      <w:r w:rsidR="00760C78">
        <w:rPr>
          <w:u w:val="single"/>
        </w:rPr>
        <w:t xml:space="preserve">      </w:t>
      </w:r>
      <w:r w:rsidR="00760C78">
        <w:rPr>
          <w:u w:val="single"/>
        </w:rPr>
        <w:tab/>
        <w:t xml:space="preserve">  </w:t>
      </w:r>
    </w:p>
    <w:p w:rsidR="002867ED" w:rsidRPr="00350477" w:rsidRDefault="00760C78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2867ED" w:rsidRDefault="002867ED">
      <w:pPr>
        <w:spacing w:line="288" w:lineRule="auto"/>
        <w:jc w:val="both"/>
      </w:pPr>
    </w:p>
    <w:p w:rsidR="00C96BF6" w:rsidRDefault="00C96BF6" w:rsidP="00C45CD6">
      <w:pPr>
        <w:ind w:right="5385"/>
        <w:jc w:val="both"/>
      </w:pPr>
      <w:r>
        <w:t>О</w:t>
      </w:r>
      <w:r w:rsidR="00C45CD6">
        <w:t>б утверждении перечня муниц</w:t>
      </w:r>
      <w:r w:rsidR="00C45CD6">
        <w:t>и</w:t>
      </w:r>
      <w:r w:rsidR="00C45CD6">
        <w:t>пальных услуг, предоставление кот</w:t>
      </w:r>
      <w:r w:rsidR="00C45CD6">
        <w:t>о</w:t>
      </w:r>
      <w:r w:rsidR="00C45CD6">
        <w:t xml:space="preserve">рых осуществляется по принципу «одного окна» в МФЦ </w:t>
      </w:r>
    </w:p>
    <w:p w:rsidR="00B90D10" w:rsidRDefault="00B90D10" w:rsidP="00EF0B84">
      <w:pPr>
        <w:jc w:val="both"/>
      </w:pPr>
    </w:p>
    <w:p w:rsidR="00B90D10" w:rsidRDefault="00C45CD6" w:rsidP="00C45CD6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</w:t>
      </w:r>
      <w:r w:rsidR="000321B5">
        <w:t xml:space="preserve"> </w:t>
      </w:r>
      <w:r>
        <w:t>от 28.07.2012 г. № 133-ФЗ «О вн</w:t>
      </w:r>
      <w:r>
        <w:t>е</w:t>
      </w:r>
      <w:r>
        <w:t>сении изменений в отдельные законодательные акты Российской Федерации в ц</w:t>
      </w:r>
      <w:r>
        <w:t>е</w:t>
      </w:r>
      <w:r>
        <w:t>лях устранения ограничений для предоставления государственных и муниципал</w:t>
      </w:r>
      <w:r>
        <w:t>ь</w:t>
      </w:r>
      <w:r>
        <w:t>ных услуг по принципу «одного окна»», постановлением правительства Вороне</w:t>
      </w:r>
      <w:r>
        <w:t>ж</w:t>
      </w:r>
      <w:r>
        <w:t>ской области от 26.11.2012 г. № 1069 «Об организации предоставления государс</w:t>
      </w:r>
      <w:r>
        <w:t>т</w:t>
      </w:r>
      <w:r>
        <w:t>венных и муниципальных услуг по принципу «одного окна» на территории Вор</w:t>
      </w:r>
      <w:r>
        <w:t>о</w:t>
      </w:r>
      <w:r>
        <w:t>нежской области», приказом департамента по развитию предпринимательства и потребительского рынка Воронежской области от 30.11.2012 г. № 129 «Об утве</w:t>
      </w:r>
      <w:r>
        <w:t>р</w:t>
      </w:r>
      <w:r>
        <w:t>ждении типовых (рекомендованных) перечней муниципальных услуг, предоста</w:t>
      </w:r>
      <w:r>
        <w:t>в</w:t>
      </w:r>
      <w:r>
        <w:t>ление которых осуществляется по принципу «одного окна» в МФЦ по каждому типу муниципального образования» администрация Воробьевского муниципал</w:t>
      </w:r>
      <w:r>
        <w:t>ь</w:t>
      </w:r>
      <w:r>
        <w:t xml:space="preserve">ного района </w:t>
      </w:r>
    </w:p>
    <w:p w:rsidR="000321B5" w:rsidRDefault="000321B5" w:rsidP="000321B5">
      <w:pPr>
        <w:spacing w:line="288" w:lineRule="auto"/>
        <w:ind w:firstLine="720"/>
        <w:jc w:val="center"/>
      </w:pPr>
    </w:p>
    <w:p w:rsidR="000321B5" w:rsidRDefault="000321B5" w:rsidP="000321B5">
      <w:pPr>
        <w:spacing w:line="288" w:lineRule="auto"/>
        <w:ind w:firstLine="720"/>
        <w:jc w:val="center"/>
      </w:pPr>
      <w:r>
        <w:t>П О С Т А Н О В Л Я Е Т :</w:t>
      </w:r>
    </w:p>
    <w:p w:rsidR="00CE2BDD" w:rsidRDefault="00CE2BDD" w:rsidP="000321B5">
      <w:pPr>
        <w:jc w:val="center"/>
      </w:pPr>
    </w:p>
    <w:p w:rsidR="00C45CD6" w:rsidRDefault="00C45CD6" w:rsidP="00C45CD6">
      <w:pPr>
        <w:jc w:val="both"/>
      </w:pPr>
      <w:r>
        <w:tab/>
        <w:t>1. Утвердить прилагаемый перечень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услуг.</w:t>
      </w:r>
    </w:p>
    <w:p w:rsidR="00B90D10" w:rsidRDefault="00C45CD6" w:rsidP="008C70A3">
      <w:pPr>
        <w:ind w:firstLine="709"/>
        <w:jc w:val="both"/>
      </w:pPr>
      <w:r>
        <w:t>2</w:t>
      </w:r>
      <w:r w:rsidR="00B90D10">
        <w:t>. Контроль за исполнением</w:t>
      </w:r>
      <w:r w:rsidR="002725D2">
        <w:t xml:space="preserve"> настоящего </w:t>
      </w:r>
      <w:r w:rsidR="00B9167E">
        <w:t xml:space="preserve">постановления </w:t>
      </w:r>
      <w:r w:rsidR="002725D2">
        <w:t>возложить на заме</w:t>
      </w:r>
      <w:r w:rsidR="002725D2">
        <w:t>с</w:t>
      </w:r>
      <w:r w:rsidR="002725D2">
        <w:t>тителя главы администрации муниципального района</w:t>
      </w:r>
      <w:r>
        <w:t xml:space="preserve"> Письяукова С.А.</w:t>
      </w:r>
    </w:p>
    <w:p w:rsidR="00587C64" w:rsidRDefault="00587C64" w:rsidP="008C70A3">
      <w:pPr>
        <w:ind w:firstLine="709"/>
        <w:jc w:val="both"/>
      </w:pPr>
    </w:p>
    <w:p w:rsidR="006F7767" w:rsidRDefault="006F7767" w:rsidP="00EF0B84">
      <w:pPr>
        <w:jc w:val="both"/>
      </w:pPr>
    </w:p>
    <w:p w:rsidR="006F7767" w:rsidRDefault="006F7767" w:rsidP="00EF0B84">
      <w:pPr>
        <w:jc w:val="both"/>
      </w:pPr>
    </w:p>
    <w:p w:rsidR="00260591" w:rsidRDefault="00260591">
      <w:pPr>
        <w:jc w:val="both"/>
      </w:pPr>
      <w:r>
        <w:t xml:space="preserve">Глава </w:t>
      </w:r>
      <w:r w:rsidR="00282E61">
        <w:t>а</w:t>
      </w:r>
      <w:r w:rsidR="00EF0B84">
        <w:t>дминистрации</w:t>
      </w:r>
      <w:r w:rsidR="00282E61">
        <w:t xml:space="preserve"> </w:t>
      </w:r>
    </w:p>
    <w:p w:rsidR="00760C78" w:rsidRDefault="00760C78">
      <w:pPr>
        <w:jc w:val="both"/>
      </w:pPr>
      <w:r>
        <w:t xml:space="preserve">муниципального района </w:t>
      </w:r>
      <w:r>
        <w:tab/>
      </w:r>
      <w:r w:rsidR="008B1029">
        <w:tab/>
      </w:r>
      <w:r w:rsidR="008B1029">
        <w:tab/>
      </w:r>
      <w:r w:rsidR="00D51C93">
        <w:tab/>
      </w:r>
      <w:r w:rsidR="00D51C93">
        <w:tab/>
      </w:r>
      <w:r w:rsidR="00260591">
        <w:t xml:space="preserve">                     И.Т. Рябинин</w:t>
      </w:r>
    </w:p>
    <w:p w:rsidR="00760C78" w:rsidRPr="00FA5CFC" w:rsidRDefault="00C45CD6" w:rsidP="00C45CD6">
      <w:pPr>
        <w:spacing w:line="288" w:lineRule="auto"/>
        <w:ind w:left="5670"/>
        <w:jc w:val="both"/>
        <w:rPr>
          <w:sz w:val="27"/>
          <w:szCs w:val="27"/>
        </w:rPr>
      </w:pPr>
      <w:r>
        <w:br w:type="page"/>
      </w:r>
      <w:r w:rsidRPr="00FA5CFC">
        <w:rPr>
          <w:sz w:val="27"/>
          <w:szCs w:val="27"/>
        </w:rPr>
        <w:lastRenderedPageBreak/>
        <w:t>УТВЕРЖДЕН</w:t>
      </w:r>
    </w:p>
    <w:p w:rsidR="00C45CD6" w:rsidRPr="00FA5CFC" w:rsidRDefault="00C45CD6" w:rsidP="00C45CD6">
      <w:pPr>
        <w:spacing w:line="288" w:lineRule="auto"/>
        <w:ind w:left="5670"/>
        <w:jc w:val="both"/>
        <w:rPr>
          <w:sz w:val="27"/>
          <w:szCs w:val="27"/>
        </w:rPr>
      </w:pPr>
      <w:r w:rsidRPr="00FA5CFC">
        <w:rPr>
          <w:sz w:val="27"/>
          <w:szCs w:val="27"/>
        </w:rPr>
        <w:t xml:space="preserve">постановлением администрации Воробьевского муниципального района </w:t>
      </w:r>
    </w:p>
    <w:p w:rsidR="00C45CD6" w:rsidRPr="00FA5CFC" w:rsidRDefault="00C45CD6" w:rsidP="00C45CD6">
      <w:pPr>
        <w:spacing w:line="288" w:lineRule="auto"/>
        <w:ind w:left="5670"/>
        <w:jc w:val="both"/>
        <w:rPr>
          <w:sz w:val="27"/>
          <w:szCs w:val="27"/>
        </w:rPr>
      </w:pPr>
      <w:r w:rsidRPr="00FA5CFC">
        <w:rPr>
          <w:sz w:val="27"/>
          <w:szCs w:val="27"/>
        </w:rPr>
        <w:t xml:space="preserve">от </w:t>
      </w:r>
      <w:r w:rsidR="008D1DC9">
        <w:rPr>
          <w:sz w:val="27"/>
          <w:szCs w:val="27"/>
        </w:rPr>
        <w:t>15.</w:t>
      </w:r>
      <w:r w:rsidRPr="00FA5CFC">
        <w:rPr>
          <w:sz w:val="27"/>
          <w:szCs w:val="27"/>
        </w:rPr>
        <w:t xml:space="preserve">01.2013 г. № </w:t>
      </w:r>
      <w:r w:rsidR="008D1DC9">
        <w:rPr>
          <w:sz w:val="27"/>
          <w:szCs w:val="27"/>
        </w:rPr>
        <w:t>10</w:t>
      </w:r>
    </w:p>
    <w:p w:rsidR="00C45CD6" w:rsidRPr="00FA5CFC" w:rsidRDefault="00C45CD6" w:rsidP="00C45CD6">
      <w:pPr>
        <w:spacing w:line="288" w:lineRule="auto"/>
        <w:jc w:val="both"/>
        <w:rPr>
          <w:sz w:val="27"/>
          <w:szCs w:val="27"/>
        </w:rPr>
      </w:pPr>
    </w:p>
    <w:p w:rsidR="00C45CD6" w:rsidRPr="00FA5CFC" w:rsidRDefault="00C45CD6" w:rsidP="00C45CD6">
      <w:pPr>
        <w:jc w:val="center"/>
        <w:rPr>
          <w:sz w:val="27"/>
          <w:szCs w:val="27"/>
        </w:rPr>
      </w:pPr>
      <w:r w:rsidRPr="00FA5CFC">
        <w:rPr>
          <w:sz w:val="27"/>
          <w:szCs w:val="27"/>
        </w:rPr>
        <w:t xml:space="preserve">Перечень муниципальных услуг, </w:t>
      </w:r>
    </w:p>
    <w:p w:rsidR="00FA5CFC" w:rsidRPr="00FA5CFC" w:rsidRDefault="00C45CD6" w:rsidP="00C45CD6">
      <w:pPr>
        <w:jc w:val="center"/>
        <w:rPr>
          <w:sz w:val="27"/>
          <w:szCs w:val="27"/>
        </w:rPr>
      </w:pPr>
      <w:r w:rsidRPr="00FA5CFC">
        <w:rPr>
          <w:sz w:val="27"/>
          <w:szCs w:val="27"/>
        </w:rPr>
        <w:t xml:space="preserve">предоставление которых осуществляется по принципу «одного окна» </w:t>
      </w:r>
    </w:p>
    <w:p w:rsidR="00FA5CFC" w:rsidRPr="00FA5CFC" w:rsidRDefault="00C45CD6" w:rsidP="00C45CD6">
      <w:pPr>
        <w:jc w:val="center"/>
        <w:rPr>
          <w:sz w:val="27"/>
          <w:szCs w:val="27"/>
        </w:rPr>
      </w:pPr>
      <w:r w:rsidRPr="00FA5CFC">
        <w:rPr>
          <w:sz w:val="27"/>
          <w:szCs w:val="27"/>
        </w:rPr>
        <w:t xml:space="preserve">в многофункциональных центрах предоставления государственных </w:t>
      </w:r>
    </w:p>
    <w:p w:rsidR="00C45CD6" w:rsidRPr="00FA5CFC" w:rsidRDefault="00C45CD6" w:rsidP="00C45CD6">
      <w:pPr>
        <w:jc w:val="center"/>
        <w:rPr>
          <w:sz w:val="27"/>
          <w:szCs w:val="27"/>
        </w:rPr>
      </w:pPr>
      <w:r w:rsidRPr="00FA5CFC">
        <w:rPr>
          <w:sz w:val="27"/>
          <w:szCs w:val="27"/>
        </w:rPr>
        <w:t>и муниципальных у</w:t>
      </w:r>
      <w:r w:rsidRPr="00FA5CFC">
        <w:rPr>
          <w:sz w:val="27"/>
          <w:szCs w:val="27"/>
        </w:rPr>
        <w:t>с</w:t>
      </w:r>
      <w:r w:rsidRPr="00FA5CFC">
        <w:rPr>
          <w:sz w:val="27"/>
          <w:szCs w:val="27"/>
        </w:rPr>
        <w:t>луг</w:t>
      </w:r>
    </w:p>
    <w:p w:rsidR="00FA5CFC" w:rsidRPr="00FA5CFC" w:rsidRDefault="00FA5CFC" w:rsidP="00FA5CFC">
      <w:pPr>
        <w:jc w:val="both"/>
        <w:rPr>
          <w:sz w:val="27"/>
          <w:szCs w:val="27"/>
        </w:rPr>
      </w:pP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ind w:left="567" w:hanging="567"/>
        <w:contextualSpacing/>
        <w:jc w:val="both"/>
        <w:rPr>
          <w:rFonts w:eastAsia="DejaVu Sans"/>
          <w:color w:val="000000"/>
          <w:sz w:val="27"/>
          <w:szCs w:val="27"/>
          <w:lang w:bidi="ru-RU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Выдача архивных документов (архивных справок, выписок и копий).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color w:val="000000"/>
          <w:sz w:val="27"/>
          <w:szCs w:val="27"/>
          <w:lang w:bidi="ru-RU"/>
        </w:rPr>
        <w:t>Выдача разрешения на установку рекламной конструкции.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(с предварительным согласованием мест размещения объектов).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жилищного строительства.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строения, сооружения.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ind w:left="567" w:hanging="567"/>
        <w:contextualSpacing/>
        <w:jc w:val="both"/>
        <w:rPr>
          <w:rFonts w:eastAsia="DejaVu Sans"/>
          <w:color w:val="000000"/>
          <w:sz w:val="27"/>
          <w:szCs w:val="27"/>
          <w:lang w:bidi="ru-RU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ведения личного подсобного хозяйства.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создания фермерского хозяйства и осуществления его деятельности.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Style w:val="FontStyle11"/>
          <w:sz w:val="27"/>
          <w:szCs w:val="27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Принятие решения о прекращении права пожизненного наследуемого владения земельным участком.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Принятие решения о прекращении права постоянного (бессрочного) пользования земельным участком.</w:t>
      </w:r>
    </w:p>
    <w:p w:rsidR="00FA5CFC" w:rsidRPr="00FA5CFC" w:rsidRDefault="00FA5CFC" w:rsidP="00FA5CFC">
      <w:pPr>
        <w:widowControl w:val="0"/>
        <w:numPr>
          <w:ilvl w:val="0"/>
          <w:numId w:val="2"/>
        </w:numPr>
        <w:tabs>
          <w:tab w:val="clear" w:pos="502"/>
        </w:tabs>
        <w:suppressAutoHyphens/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="DejaVu Sans"/>
          <w:color w:val="000000"/>
          <w:sz w:val="27"/>
          <w:szCs w:val="27"/>
        </w:rPr>
      </w:pPr>
      <w:r w:rsidRPr="00FA5CFC">
        <w:rPr>
          <w:rFonts w:eastAsia="DejaVu Sans"/>
          <w:color w:val="000000"/>
          <w:sz w:val="27"/>
          <w:szCs w:val="27"/>
          <w:lang w:bidi="ru-RU"/>
        </w:rPr>
        <w:t>Раздел и объединение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разграничена.</w:t>
      </w:r>
    </w:p>
    <w:p w:rsidR="00FA5CFC" w:rsidRDefault="00FA5CFC" w:rsidP="00FA5CFC">
      <w:pPr>
        <w:jc w:val="both"/>
      </w:pPr>
    </w:p>
    <w:sectPr w:rsidR="00FA5CFC" w:rsidSect="00FA5C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418"/>
    <w:multiLevelType w:val="hybridMultilevel"/>
    <w:tmpl w:val="2326C1C0"/>
    <w:lvl w:ilvl="0" w:tplc="0882D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36487A"/>
    <w:rsid w:val="000321B5"/>
    <w:rsid w:val="001444B3"/>
    <w:rsid w:val="00152060"/>
    <w:rsid w:val="00180E38"/>
    <w:rsid w:val="001A4810"/>
    <w:rsid w:val="001C62A2"/>
    <w:rsid w:val="00202508"/>
    <w:rsid w:val="00230A27"/>
    <w:rsid w:val="00260591"/>
    <w:rsid w:val="002725D2"/>
    <w:rsid w:val="00282E61"/>
    <w:rsid w:val="002867ED"/>
    <w:rsid w:val="002A1A7E"/>
    <w:rsid w:val="002D6837"/>
    <w:rsid w:val="002F3A32"/>
    <w:rsid w:val="002F67B3"/>
    <w:rsid w:val="00350477"/>
    <w:rsid w:val="003601AF"/>
    <w:rsid w:val="0036487A"/>
    <w:rsid w:val="0040023C"/>
    <w:rsid w:val="00441952"/>
    <w:rsid w:val="004504C3"/>
    <w:rsid w:val="0046772C"/>
    <w:rsid w:val="004846A4"/>
    <w:rsid w:val="00587C64"/>
    <w:rsid w:val="005E2F5C"/>
    <w:rsid w:val="00647E7C"/>
    <w:rsid w:val="00666DA1"/>
    <w:rsid w:val="006672C4"/>
    <w:rsid w:val="006A2FFE"/>
    <w:rsid w:val="006C756E"/>
    <w:rsid w:val="006F7767"/>
    <w:rsid w:val="00742406"/>
    <w:rsid w:val="00744258"/>
    <w:rsid w:val="00760C78"/>
    <w:rsid w:val="00766F55"/>
    <w:rsid w:val="00772AFC"/>
    <w:rsid w:val="00777295"/>
    <w:rsid w:val="007B6E82"/>
    <w:rsid w:val="007E388A"/>
    <w:rsid w:val="007E6032"/>
    <w:rsid w:val="008B1029"/>
    <w:rsid w:val="008C70A3"/>
    <w:rsid w:val="008D1DC9"/>
    <w:rsid w:val="009001E4"/>
    <w:rsid w:val="009E6A85"/>
    <w:rsid w:val="00A4337E"/>
    <w:rsid w:val="00AA4AC5"/>
    <w:rsid w:val="00B659EF"/>
    <w:rsid w:val="00B90D10"/>
    <w:rsid w:val="00B9167E"/>
    <w:rsid w:val="00BA69CF"/>
    <w:rsid w:val="00BE2814"/>
    <w:rsid w:val="00BF0ACC"/>
    <w:rsid w:val="00C201E1"/>
    <w:rsid w:val="00C35759"/>
    <w:rsid w:val="00C45CD6"/>
    <w:rsid w:val="00C52A3E"/>
    <w:rsid w:val="00C96BF6"/>
    <w:rsid w:val="00CC0F67"/>
    <w:rsid w:val="00CE2BDD"/>
    <w:rsid w:val="00CF01EF"/>
    <w:rsid w:val="00D121C5"/>
    <w:rsid w:val="00D51C93"/>
    <w:rsid w:val="00D635DA"/>
    <w:rsid w:val="00D7101D"/>
    <w:rsid w:val="00D71375"/>
    <w:rsid w:val="00DA4D98"/>
    <w:rsid w:val="00E0259A"/>
    <w:rsid w:val="00E43A47"/>
    <w:rsid w:val="00E66B3A"/>
    <w:rsid w:val="00EE2AB9"/>
    <w:rsid w:val="00EF0B84"/>
    <w:rsid w:val="00F257FB"/>
    <w:rsid w:val="00F30348"/>
    <w:rsid w:val="00F5028F"/>
    <w:rsid w:val="00F76B84"/>
    <w:rsid w:val="00F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2725D2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0321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FA5CF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FA5CF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8454-F94C-4164-B5D0-CCBCB09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2013-01-15T12:57:00Z</cp:lastPrinted>
  <dcterms:created xsi:type="dcterms:W3CDTF">2013-04-03T15:23:00Z</dcterms:created>
  <dcterms:modified xsi:type="dcterms:W3CDTF">2013-04-03T15:23:00Z</dcterms:modified>
</cp:coreProperties>
</file>